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42F03FF" w14:paraId="10D87EFA" wp14:textId="75620A53">
      <w:pPr>
        <w:jc w:val="righ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42F03FF" w:rsidR="318832CA">
        <w:rPr>
          <w:rFonts w:ascii="Calibri" w:hAnsi="Calibri" w:eastAsia="Calibri" w:cs="Calibri"/>
          <w:b w:val="1"/>
          <w:bCs w:val="1"/>
          <w:i w:val="0"/>
          <w:iCs w:val="0"/>
          <w:strike w:val="0"/>
          <w:dstrike w:val="0"/>
          <w:noProof w:val="0"/>
          <w:color w:val="000000" w:themeColor="text1" w:themeTint="FF" w:themeShade="FF"/>
          <w:sz w:val="24"/>
          <w:szCs w:val="24"/>
          <w:u w:val="none"/>
          <w:lang w:val="en-US"/>
        </w:rPr>
        <w:t>40-002</w:t>
      </w:r>
    </w:p>
    <w:p xmlns:wp14="http://schemas.microsoft.com/office/word/2010/wordml" w:rsidP="13D13E21" w14:paraId="0D4D4C5D" wp14:textId="33805D92">
      <w:pPr>
        <w:jc w:val="right"/>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3D13E21" w:rsidR="2C40AE51">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BOT </w:t>
      </w:r>
      <w:r w:rsidRPr="13D13E21" w:rsidR="318832CA">
        <w:rPr>
          <w:rFonts w:ascii="Calibri" w:hAnsi="Calibri" w:eastAsia="Calibri" w:cs="Calibri"/>
          <w:b w:val="0"/>
          <w:bCs w:val="0"/>
          <w:i w:val="0"/>
          <w:iCs w:val="0"/>
          <w:strike w:val="0"/>
          <w:dstrike w:val="0"/>
          <w:noProof w:val="0"/>
          <w:color w:val="000000" w:themeColor="text1" w:themeTint="FF" w:themeShade="FF"/>
          <w:sz w:val="24"/>
          <w:szCs w:val="24"/>
          <w:u w:val="none"/>
          <w:lang w:val="en-US"/>
        </w:rPr>
        <w:t>10-26-22</w:t>
      </w:r>
    </w:p>
    <w:p xmlns:wp14="http://schemas.microsoft.com/office/word/2010/wordml" w:rsidP="642F03FF" w14:paraId="590C9889" wp14:textId="62762F51">
      <w:pPr>
        <w:rPr>
          <w:b w:val="1"/>
          <w:bCs w:val="1"/>
        </w:rPr>
      </w:pPr>
      <w:r w:rsidRPr="642F03FF" w:rsidR="318832CA">
        <w:rPr>
          <w:rFonts w:ascii="Calibri" w:hAnsi="Calibri" w:eastAsia="Calibri" w:cs="Calibri"/>
          <w:b w:val="1"/>
          <w:bCs w:val="1"/>
          <w:i w:val="0"/>
          <w:iCs w:val="0"/>
          <w:strike w:val="0"/>
          <w:dstrike w:val="0"/>
          <w:noProof w:val="0"/>
          <w:color w:val="000000" w:themeColor="text1" w:themeTint="FF" w:themeShade="FF"/>
          <w:sz w:val="24"/>
          <w:szCs w:val="24"/>
          <w:u w:val="none"/>
          <w:lang w:val="en-US"/>
        </w:rPr>
        <w:t>GRANT RELATED ROLES AND RESPONSIBILITIES</w:t>
      </w:r>
    </w:p>
    <w:p xmlns:wp14="http://schemas.microsoft.com/office/word/2010/wordml" w:rsidP="187C9322" w14:paraId="449FA3B1" wp14:textId="43E3C447">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87C9322" w:rsidR="318832CA">
        <w:rPr>
          <w:rFonts w:ascii="Calibri" w:hAnsi="Calibri" w:eastAsia="Calibri" w:cs="Calibri"/>
          <w:b w:val="1"/>
          <w:bCs w:val="1"/>
          <w:i w:val="0"/>
          <w:iCs w:val="0"/>
          <w:strike w:val="0"/>
          <w:dstrike w:val="0"/>
          <w:noProof w:val="0"/>
          <w:color w:val="000000" w:themeColor="text1" w:themeTint="FF" w:themeShade="FF"/>
          <w:sz w:val="24"/>
          <w:szCs w:val="24"/>
          <w:u w:val="none"/>
          <w:lang w:val="en-US"/>
        </w:rPr>
        <w:t>Pre-Award</w:t>
      </w:r>
      <w:r w:rsidRPr="187C9322" w:rsidR="318832C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 This includes budget review and proposal review </w:t>
      </w:r>
      <w:r w:rsidRPr="187C9322" w:rsidR="318832CA">
        <w:rPr>
          <w:rFonts w:ascii="Calibri" w:hAnsi="Calibri" w:eastAsia="Calibri" w:cs="Calibri"/>
          <w:b w:val="0"/>
          <w:bCs w:val="0"/>
          <w:i w:val="0"/>
          <w:iCs w:val="0"/>
          <w:strike w:val="0"/>
          <w:dstrike w:val="0"/>
          <w:noProof w:val="0"/>
          <w:color w:val="auto"/>
          <w:sz w:val="24"/>
          <w:szCs w:val="24"/>
          <w:u w:val="none"/>
          <w:lang w:val="en-US"/>
        </w:rPr>
        <w:t>by the grants committee, as well</w:t>
      </w:r>
      <w:r w:rsidRPr="187C9322" w:rsidR="318832CA">
        <w:rPr>
          <w:rFonts w:ascii="Calibri" w:hAnsi="Calibri" w:eastAsia="Calibri" w:cs="Calibri"/>
          <w:b w:val="0"/>
          <w:bCs w:val="0"/>
          <w:i w:val="0"/>
          <w:iCs w:val="0"/>
          <w:strike w:val="0"/>
          <w:dstrike w:val="0"/>
          <w:noProof w:val="0"/>
          <w:color w:val="FF0000"/>
          <w:sz w:val="24"/>
          <w:szCs w:val="24"/>
          <w:u w:val="none"/>
          <w:lang w:val="en-US"/>
        </w:rPr>
        <w:t xml:space="preserve"> </w:t>
      </w:r>
      <w:r w:rsidRPr="187C9322" w:rsidR="318832CA">
        <w:rPr>
          <w:rFonts w:ascii="Calibri" w:hAnsi="Calibri" w:eastAsia="Calibri" w:cs="Calibri"/>
          <w:b w:val="0"/>
          <w:bCs w:val="0"/>
          <w:i w:val="0"/>
          <w:iCs w:val="0"/>
          <w:strike w:val="0"/>
          <w:dstrike w:val="0"/>
          <w:noProof w:val="0"/>
          <w:color w:val="auto"/>
          <w:sz w:val="24"/>
          <w:szCs w:val="24"/>
          <w:u w:val="none"/>
          <w:lang w:val="en-US"/>
        </w:rPr>
        <w:t xml:space="preserve">as </w:t>
      </w:r>
      <w:r w:rsidRPr="187C9322" w:rsidR="318832CA">
        <w:rPr>
          <w:rFonts w:ascii="Calibri" w:hAnsi="Calibri" w:eastAsia="Calibri" w:cs="Calibri"/>
          <w:b w:val="0"/>
          <w:bCs w:val="0"/>
          <w:i w:val="0"/>
          <w:iCs w:val="0"/>
          <w:strike w:val="0"/>
          <w:dstrike w:val="0"/>
          <w:noProof w:val="0"/>
          <w:color w:val="000000" w:themeColor="text1" w:themeTint="FF" w:themeShade="FF"/>
          <w:sz w:val="24"/>
          <w:szCs w:val="24"/>
          <w:u w:val="none"/>
          <w:lang w:val="en-US"/>
        </w:rPr>
        <w:t>submission, sponsor communication, and other tasks included in applying for federal, state and private funding.</w:t>
      </w:r>
    </w:p>
    <w:tbl>
      <w:tblPr>
        <w:tblStyle w:val="TableGrid"/>
        <w:tblW w:w="0" w:type="auto"/>
        <w:tblLayout w:type="fixed"/>
        <w:tblLook w:val="06A0" w:firstRow="1" w:lastRow="0" w:firstColumn="1" w:lastColumn="0" w:noHBand="1" w:noVBand="1"/>
      </w:tblPr>
      <w:tblGrid>
        <w:gridCol w:w="4680"/>
        <w:gridCol w:w="4680"/>
      </w:tblGrid>
      <w:tr w:rsidR="642F03FF" w:rsidTr="642F03FF" w14:paraId="0B2CE406">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08A5D0C2" w14:textId="4AA0A570">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Pre-Award Tasks</w:t>
            </w:r>
          </w:p>
        </w:tc>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136B30A7" w14:textId="4749CF76">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Point of Contact</w:t>
            </w:r>
          </w:p>
        </w:tc>
      </w:tr>
      <w:tr w:rsidR="642F03FF" w:rsidTr="642F03FF" w14:paraId="2DA8116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4F35E55E" w14:textId="02751AC6">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Proposal Budget Preparation</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34B9D41A" w14:textId="34528F9D">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78EE44B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6A3F8D16" w14:textId="3A555B79">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Proposal Budget Review and Approval</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3DD2569" w14:textId="3B379C61">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399B8CDA">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35BFD03F" w14:textId="2992745F">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Proposal Submission</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778DE079" w14:textId="4538ADF1">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bl>
    <w:p xmlns:wp14="http://schemas.microsoft.com/office/word/2010/wordml" w:rsidP="187C9322" w14:paraId="798B942C" wp14:textId="7BB048CA">
      <w:pPr>
        <w:pStyle w:val="Normal"/>
        <w:spacing w:after="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p>
    <w:p xmlns:wp14="http://schemas.microsoft.com/office/word/2010/wordml" w:rsidP="187C9322" w14:paraId="3AB7D9EA" wp14:textId="5A4A0273">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87C9322" w:rsidR="318832C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Post-Award </w:t>
      </w:r>
      <w:r w:rsidRPr="187C9322" w:rsidR="318832C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This includes post-award compliance responsibilities including requesting prior approvals, ensuring charges are allowable, and closing out projects. </w:t>
      </w:r>
    </w:p>
    <w:tbl>
      <w:tblPr>
        <w:tblStyle w:val="TableGrid"/>
        <w:tblW w:w="0" w:type="auto"/>
        <w:tblLayout w:type="fixed"/>
        <w:tblLook w:val="06A0" w:firstRow="1" w:lastRow="0" w:firstColumn="1" w:lastColumn="0" w:noHBand="1" w:noVBand="1"/>
      </w:tblPr>
      <w:tblGrid>
        <w:gridCol w:w="4680"/>
        <w:gridCol w:w="4680"/>
      </w:tblGrid>
      <w:tr w:rsidR="642F03FF" w:rsidTr="642F03FF" w14:paraId="60781C22">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3E1BF1B8" w14:textId="17E44779">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Post-Award Tasks</w:t>
            </w:r>
          </w:p>
        </w:tc>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6A96E559" w14:textId="4E628E44">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Point of Contact</w:t>
            </w:r>
          </w:p>
        </w:tc>
      </w:tr>
      <w:tr w:rsidR="642F03FF" w:rsidTr="642F03FF" w14:paraId="5E54CFCE">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336D1638" w14:textId="4F1A7C4A">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Grant/Contract Acceptance</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5748513" w14:textId="15CD8213">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President and Grants and Contracts Officer</w:t>
            </w:r>
          </w:p>
        </w:tc>
      </w:tr>
      <w:tr w:rsidR="642F03FF" w:rsidTr="642F03FF" w14:paraId="706A1C9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F5BC258" w14:textId="7A4DDDFB">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Change of Principal Investigator</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16406E44" w14:textId="06DBAB79">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r w:rsidR="642F03FF" w:rsidTr="642F03FF" w14:paraId="14C58676">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767E8802" w14:textId="12E9DB0A">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Requesting a Budget Revision</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9BFF30A" w14:textId="6038BFDD">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071BA4C8">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2C83E883" w14:textId="3013C19D">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Correction of Unallowable Cost</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25CBF105" w14:textId="429A731C">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r w:rsidR="642F03FF" w:rsidTr="642F03FF" w14:paraId="5452C68F">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D551287" w14:textId="1FD28B55">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Request a Cost Transfer</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65764BCA" w14:textId="6197BEB2">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r w:rsidR="642F03FF" w:rsidTr="642F03FF" w14:paraId="28984CF8">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F54C26F" w14:textId="67F0E54C">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Closing Out an Award</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B80167F" w14:textId="67E58F63">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bl>
    <w:p xmlns:wp14="http://schemas.microsoft.com/office/word/2010/wordml" w:rsidP="187C9322" w14:paraId="1033C24C" wp14:textId="7099F84F">
      <w:pPr>
        <w:spacing w:after="0" w:afterAutospacing="off"/>
      </w:pPr>
    </w:p>
    <w:p xmlns:wp14="http://schemas.microsoft.com/office/word/2010/wordml" w:rsidP="187C9322" w14:paraId="2F58CEDD" wp14:textId="5AE82118">
      <w:pPr>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87C9322" w:rsidR="318832CA">
        <w:rPr>
          <w:rFonts w:ascii="Calibri" w:hAnsi="Calibri" w:eastAsia="Calibri" w:cs="Calibri"/>
          <w:b w:val="1"/>
          <w:bCs w:val="1"/>
          <w:i w:val="0"/>
          <w:iCs w:val="0"/>
          <w:strike w:val="0"/>
          <w:dstrike w:val="0"/>
          <w:noProof w:val="0"/>
          <w:color w:val="000000" w:themeColor="text1" w:themeTint="FF" w:themeShade="FF"/>
          <w:sz w:val="24"/>
          <w:szCs w:val="24"/>
          <w:u w:val="none"/>
          <w:lang w:val="en-US"/>
        </w:rPr>
        <w:t>Grants Accounting</w:t>
      </w:r>
      <w:r w:rsidRPr="187C9322" w:rsidR="318832C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 This includes all financial responsibilities including account setup, budget setup, monitoring and approval of expenses, invoicing, and financial reporting. Board of Trustee approval will be required for entering the approved grant budget into the OLC financial software at the Board meeting immediately following grant approval. </w:t>
      </w:r>
    </w:p>
    <w:tbl>
      <w:tblPr>
        <w:tblStyle w:val="TableGrid"/>
        <w:tblW w:w="0" w:type="auto"/>
        <w:tblLayout w:type="fixed"/>
        <w:tblLook w:val="06A0" w:firstRow="1" w:lastRow="0" w:firstColumn="1" w:lastColumn="0" w:noHBand="1" w:noVBand="1"/>
      </w:tblPr>
      <w:tblGrid>
        <w:gridCol w:w="4680"/>
        <w:gridCol w:w="4680"/>
      </w:tblGrid>
      <w:tr w:rsidR="642F03FF" w:rsidTr="642F03FF" w14:paraId="517AF9C3">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586D5457" w14:textId="0D3EFACD">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Accounting Tasks</w:t>
            </w:r>
          </w:p>
        </w:tc>
        <w:tc>
          <w:tcPr>
            <w:tcW w:w="46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vAlign w:val="top"/>
          </w:tcPr>
          <w:p w:rsidR="642F03FF" w:rsidP="642F03FF" w:rsidRDefault="642F03FF" w14:paraId="01951BDE" w14:textId="27B65A2B">
            <w:pPr>
              <w:jc w:val="cente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Point of Contact</w:t>
            </w:r>
          </w:p>
        </w:tc>
      </w:tr>
      <w:tr w:rsidR="642F03FF" w:rsidTr="642F03FF" w14:paraId="11B23F1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101DF5F9" w14:textId="5D62DB89">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Award and Grant ID Setup</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55AB55A" w14:textId="09ADD608">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r w:rsidR="642F03FF" w:rsidTr="642F03FF" w14:paraId="627CDF45">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7979ACE" w14:textId="7926311E">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Award Budget Setup</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765AE59" w14:textId="7E9EBC64">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2231AFA4">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3ACA983" w14:textId="6157E379">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Budget Revision</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72AA2DE5" w14:textId="7386B8EF">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372B18EF">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04226DA9" w14:textId="46FFB877">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 xml:space="preserve">Cost Transfer </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2247EC26" w14:textId="58B41D35">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Principal Investigator</w:t>
            </w:r>
          </w:p>
        </w:tc>
      </w:tr>
      <w:tr w:rsidR="642F03FF" w:rsidTr="642F03FF" w14:paraId="5BAED39D">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6C23A902" w14:textId="612010A1">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Expenditure Review and Approval</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408E784D" w14:textId="64C7582B">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 xml:space="preserve">Grants and Contracts Officer and Vice President for Business </w:t>
            </w:r>
          </w:p>
        </w:tc>
      </w:tr>
      <w:tr w:rsidR="642F03FF" w:rsidTr="642F03FF" w14:paraId="0BFEE8CF">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64F9D6C2" w14:textId="6EA360CC">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 Budget Monitoring</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6092EE1D" w14:textId="65EF9DC8">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 xml:space="preserve">Grants and Contracts Officer and Vice President for Business </w:t>
            </w:r>
          </w:p>
        </w:tc>
      </w:tr>
      <w:tr w:rsidR="642F03FF" w:rsidTr="642F03FF" w14:paraId="11D1CB83">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712CF413" w14:textId="03C2869F">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 Financial Questions</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E0C0019" w14:textId="4D252655">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 xml:space="preserve">Grants and Contracts Officer and Vice President for Business </w:t>
            </w:r>
          </w:p>
        </w:tc>
      </w:tr>
      <w:tr w:rsidR="642F03FF" w:rsidTr="642F03FF" w14:paraId="465A8DB9">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99375E5" w14:textId="4392C966">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Submission of Invoices</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AC039E7" w14:textId="573F33ED">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r w:rsidR="642F03FF" w:rsidTr="642F03FF" w14:paraId="0CBEBCB7">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26ED123C" w14:textId="0249FEAA">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Submission of Financial Reports</w:t>
            </w:r>
          </w:p>
        </w:tc>
        <w:tc>
          <w:tcPr>
            <w:tcW w:w="4680"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642F03FF" w:rsidP="642F03FF" w:rsidRDefault="642F03FF" w14:paraId="571F46CD" w14:textId="2DB8C1DF">
            <w:pPr>
              <w:rPr>
                <w:b w:val="0"/>
                <w:bCs w:val="0"/>
                <w:i w:val="0"/>
                <w:iCs w:val="0"/>
                <w:strike w:val="0"/>
                <w:dstrike w:val="0"/>
                <w:color w:val="000000" w:themeColor="text1" w:themeTint="FF" w:themeShade="FF"/>
                <w:sz w:val="24"/>
                <w:szCs w:val="24"/>
                <w:u w:val="none"/>
              </w:rPr>
            </w:pPr>
            <w:r w:rsidRPr="642F03FF" w:rsidR="642F03FF">
              <w:rPr>
                <w:b w:val="0"/>
                <w:bCs w:val="0"/>
                <w:i w:val="0"/>
                <w:iCs w:val="0"/>
                <w:strike w:val="0"/>
                <w:dstrike w:val="0"/>
                <w:color w:val="000000" w:themeColor="text1" w:themeTint="FF" w:themeShade="FF"/>
                <w:sz w:val="24"/>
                <w:szCs w:val="24"/>
                <w:u w:val="none"/>
              </w:rPr>
              <w:t>Grants and Contracts Officer</w:t>
            </w:r>
          </w:p>
        </w:tc>
      </w:tr>
    </w:tbl>
    <w:p xmlns:wp14="http://schemas.microsoft.com/office/word/2010/wordml" w:rsidP="642F03FF" w14:paraId="2C078E63" wp14:textId="1BFC831A">
      <w:pPr>
        <w:pStyle w:val="Normal"/>
        <w:rPr>
          <w:b w:val="0"/>
          <w:b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6FB2C"/>
    <w:rsid w:val="11360FF6"/>
    <w:rsid w:val="13D13E21"/>
    <w:rsid w:val="187C9322"/>
    <w:rsid w:val="29298983"/>
    <w:rsid w:val="2C40AE51"/>
    <w:rsid w:val="318832CA"/>
    <w:rsid w:val="505E3E05"/>
    <w:rsid w:val="5BC6FB2C"/>
    <w:rsid w:val="642F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FB2C"/>
  <w15:chartTrackingRefBased/>
  <w15:docId w15:val="{DCC696A0-CA7A-43C2-AF27-4BB7C684AD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5" ma:contentTypeDescription="Create a new document." ma:contentTypeScope="" ma:versionID="c7c6913dfa46948bae0eaa13dadd9829">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be97662d54aed0f5c99c1a500e9030f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80cde185-d2a0-45e2-9bde-945b73e57a20">Grant Related Roles and Responsibilities (Policy)</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C6E9CEA8-9861-4119-981D-694B27F9F89B}"/>
</file>

<file path=customXml/itemProps2.xml><?xml version="1.0" encoding="utf-8"?>
<ds:datastoreItem xmlns:ds="http://schemas.openxmlformats.org/officeDocument/2006/customXml" ds:itemID="{783D801C-A860-439E-AAC6-53DC14CB9463}"/>
</file>

<file path=customXml/itemProps3.xml><?xml version="1.0" encoding="utf-8"?>
<ds:datastoreItem xmlns:ds="http://schemas.openxmlformats.org/officeDocument/2006/customXml" ds:itemID="{ECB7E785-9AE6-4AED-86F2-C2BE567CAB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Janis</dc:creator>
  <cp:keywords/>
  <dc:description/>
  <cp:lastModifiedBy>Katie Janis</cp:lastModifiedBy>
  <dcterms:created xsi:type="dcterms:W3CDTF">2022-10-27T15:40:55Z</dcterms:created>
  <dcterms:modified xsi:type="dcterms:W3CDTF">2022-11-04T18:14:28Z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0x0101001F1E7F0EC2EC0D44A623885941C953B1</vt:lpwstr>
  </property>
  <property fmtid="{D5CDD505-2E9C-101B-9397-08002B2CF9AE}" pid="3" name="Order">
    <vt:r8>3303000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