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A63F9" w:rsidP="02085984" w:rsidRDefault="00A608A1" w14:paraId="7063ACB8" wp14:textId="3464B2F2">
      <w:pPr>
        <w:pStyle w:val="Normal"/>
        <w:jc w:val="righ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00A608A1">
        <w:rPr/>
        <w:t xml:space="preserve">                               </w:t>
      </w:r>
      <w:r w:rsidRPr="02085984" w:rsidR="0A4BCA83">
        <w:rPr>
          <w:rFonts w:ascii="Bitstream Vera Serif" w:hAnsi="Bitstream Vera Serif" w:eastAsia="Bitstream Vera Serif" w:cs="Bitstream Vera Serif"/>
          <w:b w:val="0"/>
          <w:bCs w:val="0"/>
          <w:i w:val="0"/>
          <w:iCs w:val="0"/>
          <w:strike w:val="0"/>
          <w:dstrike w:val="0"/>
          <w:noProof w:val="0"/>
          <w:color w:val="000000" w:themeColor="text1" w:themeTint="FF" w:themeShade="FF"/>
          <w:sz w:val="24"/>
          <w:szCs w:val="24"/>
          <w:u w:val="none"/>
          <w:lang w:val="en-US"/>
        </w:rPr>
        <w:t xml:space="preserve">          </w:t>
      </w: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44-000-1</w:t>
      </w:r>
    </w:p>
    <w:p xmlns:wp14="http://schemas.microsoft.com/office/word/2010/wordml" w:rsidR="00AA63F9" w:rsidP="02085984" w:rsidRDefault="00A608A1" w14:paraId="6275919E" wp14:textId="65615662">
      <w:pPr>
        <w:jc w:val="righ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BOT 01-31-08, 10-26-22</w:t>
      </w:r>
    </w:p>
    <w:p xmlns:wp14="http://schemas.microsoft.com/office/word/2010/wordml" w:rsidR="00AA63F9" w:rsidP="02085984" w:rsidRDefault="00A608A1" w14:paraId="0B7A6288" wp14:textId="3DBFC570">
      <w:pPr>
        <w:jc w:val="righ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R="00AA63F9" w:rsidP="02085984" w:rsidRDefault="00A608A1" w14:paraId="0C462B89" wp14:textId="69389FB3">
      <w:pPr>
        <w:jc w:val="cente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INVESTMENT PROCEDURES/INVESTMENT DISBURSEMENTS (PROCEDURE)</w:t>
      </w:r>
    </w:p>
    <w:p xmlns:wp14="http://schemas.microsoft.com/office/word/2010/wordml" w:rsidR="00AA63F9" w:rsidP="02085984" w:rsidRDefault="00A608A1" w14:paraId="43A20DBC" wp14:textId="3A93AA9E">
      <w:pPr>
        <w:jc w:val="right"/>
        <w:rPr>
          <w:rFonts w:ascii="Calibri" w:hAnsi="Calibri" w:eastAsia="Calibri" w:cs="Calibri"/>
        </w:rPr>
      </w:pPr>
      <w:r>
        <w:br/>
      </w:r>
    </w:p>
    <w:p xmlns:wp14="http://schemas.microsoft.com/office/word/2010/wordml" w:rsidR="00AA63F9" w:rsidP="02085984" w:rsidRDefault="00A608A1" w14:paraId="1E125066" wp14:textId="313B5F72">
      <w:pPr>
        <w:pStyle w:val="ListParagraph"/>
        <w:numPr>
          <w:ilvl w:val="0"/>
          <w:numId w:val="4"/>
        </w:numPr>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Investment Firm/Firms have custodial responsibility </w:t>
      </w:r>
      <w:proofErr w:type="gramStart"/>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of</w:t>
      </w:r>
      <w:proofErr w:type="gramEnd"/>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the investments.</w:t>
      </w:r>
    </w:p>
    <w:p xmlns:wp14="http://schemas.microsoft.com/office/word/2010/wordml" w:rsidR="00AA63F9" w:rsidP="02085984" w:rsidRDefault="00A608A1" w14:paraId="4918F9E4" wp14:textId="0A20D0BE">
      <w:pPr>
        <w:jc w:val="left"/>
        <w:rPr>
          <w:rFonts w:ascii="Calibri" w:hAnsi="Calibri" w:eastAsia="Calibri" w:cs="Calibri"/>
        </w:rPr>
      </w:pPr>
    </w:p>
    <w:p xmlns:wp14="http://schemas.microsoft.com/office/word/2010/wordml" w:rsidR="00AA63F9" w:rsidP="02085984" w:rsidRDefault="00A608A1" w14:paraId="6A691328" wp14:textId="50EF6D22">
      <w:pPr>
        <w:pStyle w:val="ListParagraph"/>
        <w:numPr>
          <w:ilvl w:val="0"/>
          <w:numId w:val="4"/>
        </w:numPr>
        <w:jc w:val="left"/>
        <w:rPr>
          <w:rFonts w:ascii="Calibri" w:hAnsi="Calibri" w:eastAsia="Calibri" w:cs="Calibri"/>
          <w:b w:val="0"/>
          <w:bCs w:val="0"/>
        </w:rPr>
      </w:pP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President is delegated by the Board of Trustees to authorize investments with the investment officer/officers. For large equity investments, the President may utilize an internal investment committee with no fewer than four members that shall include the President and Vice-President for Business, </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Vice President of Instruction, and the Director of Development</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A</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dditional</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member</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 may be added as </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agreed to by the President and Vice-President for Business. </w:t>
      </w:r>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 minimum of two external members may be added at the President’s discretion. External members must have strong </w:t>
      </w:r>
      <w:proofErr w:type="gramStart"/>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expertise</w:t>
      </w:r>
      <w:proofErr w:type="gramEnd"/>
      <w:r w:rsidRPr="6E85564D"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investment strategies and follow the approved Board of Trustees investment strategies. The two external members will be ex-officio members with no voting authority. </w:t>
      </w:r>
      <w:r w:rsidRPr="6E85564D" w:rsidR="7D574A1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Depending on </w:t>
      </w:r>
      <w:r w:rsidRPr="6E85564D" w:rsidR="1A97A66C">
        <w:rPr>
          <w:rFonts w:ascii="Calibri" w:hAnsi="Calibri" w:eastAsia="Calibri" w:cs="Calibri"/>
          <w:b w:val="0"/>
          <w:bCs w:val="0"/>
          <w:i w:val="0"/>
          <w:iCs w:val="0"/>
          <w:strike w:val="0"/>
          <w:dstrike w:val="0"/>
          <w:noProof w:val="0"/>
          <w:color w:val="000000" w:themeColor="text1" w:themeTint="FF" w:themeShade="FF"/>
          <w:sz w:val="24"/>
          <w:szCs w:val="24"/>
          <w:u w:val="none"/>
          <w:lang w:val="en-US"/>
        </w:rPr>
        <w:t>availability</w:t>
      </w:r>
      <w:r w:rsidRPr="6E85564D" w:rsidR="7D574A1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of funds, External members will receive a stipend per meeting and mil</w:t>
      </w:r>
      <w:r w:rsidRPr="6E85564D" w:rsidR="7BBD09F9">
        <w:rPr>
          <w:rFonts w:ascii="Calibri" w:hAnsi="Calibri" w:eastAsia="Calibri" w:cs="Calibri"/>
          <w:b w:val="0"/>
          <w:bCs w:val="0"/>
          <w:i w:val="0"/>
          <w:iCs w:val="0"/>
          <w:strike w:val="0"/>
          <w:dstrike w:val="0"/>
          <w:noProof w:val="0"/>
          <w:color w:val="000000" w:themeColor="text1" w:themeTint="FF" w:themeShade="FF"/>
          <w:sz w:val="24"/>
          <w:szCs w:val="24"/>
          <w:u w:val="none"/>
          <w:lang w:val="en-US"/>
        </w:rPr>
        <w:t>e</w:t>
      </w:r>
      <w:r w:rsidRPr="6E85564D" w:rsidR="7D574A14">
        <w:rPr>
          <w:rFonts w:ascii="Calibri" w:hAnsi="Calibri" w:eastAsia="Calibri" w:cs="Calibri"/>
          <w:b w:val="0"/>
          <w:bCs w:val="0"/>
          <w:i w:val="0"/>
          <w:iCs w:val="0"/>
          <w:strike w:val="0"/>
          <w:dstrike w:val="0"/>
          <w:noProof w:val="0"/>
          <w:color w:val="000000" w:themeColor="text1" w:themeTint="FF" w:themeShade="FF"/>
          <w:sz w:val="24"/>
          <w:szCs w:val="24"/>
          <w:u w:val="none"/>
          <w:lang w:val="en-US"/>
        </w:rPr>
        <w:t>age for services if app</w:t>
      </w:r>
      <w:r w:rsidRPr="6E85564D" w:rsidR="27FEB02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licable. </w:t>
      </w:r>
      <w:r>
        <w:br/>
      </w:r>
    </w:p>
    <w:p xmlns:wp14="http://schemas.microsoft.com/office/word/2010/wordml" w:rsidR="00AA63F9" w:rsidP="02085984" w:rsidRDefault="00A608A1" w14:paraId="0D6FE24D" wp14:textId="2C374E25">
      <w:pPr>
        <w:pStyle w:val="ListParagraph"/>
        <w:numPr>
          <w:ilvl w:val="0"/>
          <w:numId w:val="4"/>
        </w:numPr>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The President may convene a meeting of the internal investment committee in the event of a needed action between regularly scheduled full committee meetings to address issues that may arise that require an immediate decision. That action will then be presented to the full committee at the next scheduled meeting for consideration of concurrence or moderation in the minutes.</w:t>
      </w:r>
    </w:p>
    <w:p xmlns:wp14="http://schemas.microsoft.com/office/word/2010/wordml" w:rsidR="00AA63F9" w:rsidP="02085984" w:rsidRDefault="00A608A1" w14:paraId="081A0C11" wp14:textId="542912ED">
      <w:pPr>
        <w:jc w:val="left"/>
        <w:rPr>
          <w:rFonts w:ascii="Calibri" w:hAnsi="Calibri" w:eastAsia="Calibri" w:cs="Calibri"/>
          <w:b w:val="0"/>
          <w:bCs w:val="0"/>
        </w:rPr>
      </w:pPr>
    </w:p>
    <w:p xmlns:wp14="http://schemas.microsoft.com/office/word/2010/wordml" w:rsidR="00AA63F9" w:rsidP="02085984" w:rsidRDefault="00A608A1" w14:paraId="5ADAFF8B" wp14:textId="413E59F2">
      <w:pPr>
        <w:pStyle w:val="ListParagraph"/>
        <w:numPr>
          <w:ilvl w:val="0"/>
          <w:numId w:val="4"/>
        </w:numPr>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The President and Vice President of Business may seek outside accounting firms. Outside accounting review and prepare monthly investment reports for the college through the Investment firm/</w:t>
      </w:r>
      <w:proofErr w:type="gramStart"/>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firms</w:t>
      </w:r>
      <w:proofErr w:type="gramEnd"/>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online portal.</w:t>
      </w: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They are filed and matched to the statements at year end when the Vice-President completes a review of the investment summary reports.</w:t>
      </w:r>
    </w:p>
    <w:p xmlns:wp14="http://schemas.microsoft.com/office/word/2010/wordml" w:rsidR="00AA63F9" w:rsidP="02085984" w:rsidRDefault="00A608A1" w14:paraId="48408225" wp14:textId="0A70A72A">
      <w:pPr>
        <w:jc w:val="left"/>
        <w:rPr>
          <w:rFonts w:ascii="Calibri" w:hAnsi="Calibri" w:eastAsia="Calibri" w:cs="Calibri"/>
        </w:rPr>
      </w:pPr>
    </w:p>
    <w:p xmlns:wp14="http://schemas.microsoft.com/office/word/2010/wordml" w:rsidR="00AA63F9" w:rsidP="02085984" w:rsidRDefault="00A608A1" w14:paraId="09CA3DF5" wp14:textId="6FBB0BF2">
      <w:pPr>
        <w:pStyle w:val="ListParagraph"/>
        <w:numPr>
          <w:ilvl w:val="0"/>
          <w:numId w:val="4"/>
        </w:numPr>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Monthly Investment statements are received by the President and given to the Business office who updated the excel work paper that tracks all investment activity. The Business Office will prepare a monthly spreadsheet of investment activity and adjustments of investment activity are posted to the records at that time. </w:t>
      </w:r>
    </w:p>
    <w:p xmlns:wp14="http://schemas.microsoft.com/office/word/2010/wordml" w:rsidR="00AA63F9" w:rsidP="02085984" w:rsidRDefault="00A608A1" w14:paraId="301AB6E1" wp14:textId="1606685A">
      <w:pPr>
        <w:pStyle w:val="Normal"/>
        <w:ind w:left="0"/>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xmlns:wp14="http://schemas.microsoft.com/office/word/2010/wordml" w:rsidR="00AA63F9" w:rsidP="02085984" w:rsidRDefault="00A608A1" w14:paraId="0F3FCA34" wp14:textId="1E84074C">
      <w:pPr>
        <w:pStyle w:val="ListParagraph"/>
        <w:numPr>
          <w:ilvl w:val="0"/>
          <w:numId w:val="4"/>
        </w:numPr>
        <w:jc w:val="lef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2085984" w:rsidR="0A4BCA83">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President directs the Investment Firm/Firms to make disbursement from the Endowment funds to support faculty salaries, maintenance, and scholarships. Disbursements from the endowments by check are sent to the College President and then turned over to the Business Office for deposit into the college’s checking account. Wire transfers by Investment Firms are deposited in the college’s checking accounts.    </w:t>
      </w:r>
    </w:p>
    <w:sectPr w:rsidR="002F4160">
      <w:footnotePr>
        <w:pos w:val="beneathText"/>
      </w:footnotePr>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tream Vera Serif">
    <w:altName w:val="Times New Roman"/>
    <w:charset w:val="00"/>
    <w:family w:val="roman"/>
    <w:pitch w:val="variable"/>
  </w:font>
  <w:font w:name="Bitstream Vera Sans">
    <w:charset w:val="00"/>
    <w:family w:val="auto"/>
    <w:pitch w:val="variable"/>
  </w:font>
  <w:font w:name="Lucidasans">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a191e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58D5681"/>
    <w:multiLevelType w:val="hybridMultilevel"/>
    <w:tmpl w:val="51EA0D9E"/>
    <w:lvl w:ilvl="0" w:tplc="3B103C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62406D46"/>
    <w:multiLevelType w:val="hybridMultilevel"/>
    <w:tmpl w:val="AD06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A6BDC"/>
    <w:multiLevelType w:val="hybridMultilevel"/>
    <w:tmpl w:val="AE685D9E"/>
    <w:lvl w:ilvl="0" w:tplc="DCCE7666">
      <w:start w:val="3"/>
      <w:numFmt w:val="low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4">
    <w:abstractNumId w:val="3"/>
  </w:num>
  <w:num w:numId="1" w16cid:durableId="421682763">
    <w:abstractNumId w:val="2"/>
  </w:num>
  <w:num w:numId="2" w16cid:durableId="778455279">
    <w:abstractNumId w:val="0"/>
  </w:num>
  <w:num w:numId="3" w16cid:durableId="128241659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F9"/>
    <w:rsid w:val="002F4160"/>
    <w:rsid w:val="003459F5"/>
    <w:rsid w:val="00477FC4"/>
    <w:rsid w:val="005B6AAF"/>
    <w:rsid w:val="00946FDB"/>
    <w:rsid w:val="00A608A1"/>
    <w:rsid w:val="00AA63F9"/>
    <w:rsid w:val="00B47953"/>
    <w:rsid w:val="00E62475"/>
    <w:rsid w:val="02085984"/>
    <w:rsid w:val="0A4BCA83"/>
    <w:rsid w:val="1A97A66C"/>
    <w:rsid w:val="27FEB02F"/>
    <w:rsid w:val="28CB06DF"/>
    <w:rsid w:val="33D8E22B"/>
    <w:rsid w:val="36B06445"/>
    <w:rsid w:val="683CB6F1"/>
    <w:rsid w:val="6E85564D"/>
    <w:rsid w:val="753795F3"/>
    <w:rsid w:val="7BBD09F9"/>
    <w:rsid w:val="7D574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67036D"/>
  <w15:chartTrackingRefBased/>
  <w15:docId w15:val="{E5E8CF5D-1421-4755-A62D-D7464D09A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Bitstream Vera Serif" w:hAnsi="Bitstream Vera Serif" w:eastAsia="Bitstream Vera Sans"/>
      <w:sz w:val="24"/>
      <w:lang/>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spacing w:after="120"/>
    </w:pPr>
  </w:style>
  <w:style w:type="paragraph" w:styleId="List">
    <w:name w:val="List"/>
    <w:basedOn w:val="BodyText"/>
    <w:rPr>
      <w:rFonts w:cs="Lucidasans"/>
    </w:rPr>
  </w:style>
  <w:style w:type="paragraph" w:styleId="Caption1" w:customStyle="1">
    <w:name w:val="Caption1"/>
    <w:basedOn w:val="Normal"/>
    <w:pPr>
      <w:suppressLineNumbers/>
      <w:spacing w:before="120" w:after="120"/>
    </w:pPr>
    <w:rPr>
      <w:rFonts w:cs="Lucidasans"/>
      <w:i/>
      <w:iCs/>
      <w:sz w:val="20"/>
    </w:rPr>
  </w:style>
  <w:style w:type="paragraph" w:styleId="Index" w:customStyle="1">
    <w:name w:val="Index"/>
    <w:basedOn w:val="Normal"/>
    <w:pPr>
      <w:suppressLineNumbers/>
    </w:pPr>
    <w:rPr>
      <w:rFonts w:cs="Lucidasan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INVESTMENT PROCEDURES/INVESTMENT DISBURSEMENTS (PROCEDURE)</About>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7CF9B53B-1F99-4A25-9DF8-B2BD4C648752}"/>
</file>

<file path=customXml/itemProps2.xml><?xml version="1.0" encoding="utf-8"?>
<ds:datastoreItem xmlns:ds="http://schemas.openxmlformats.org/officeDocument/2006/customXml" ds:itemID="{A90C3A5D-72C4-4CE0-B5EE-9006C15A2FB8}">
  <ds:schemaRefs>
    <ds:schemaRef ds:uri="http://schemas.microsoft.com/office/2006/metadata/longProperties"/>
  </ds:schemaRefs>
</ds:datastoreItem>
</file>

<file path=customXml/itemProps3.xml><?xml version="1.0" encoding="utf-8"?>
<ds:datastoreItem xmlns:ds="http://schemas.openxmlformats.org/officeDocument/2006/customXml" ds:itemID="{03AB57D2-8E93-43C3-8390-4C28DBD684A7}">
  <ds:schemaRefs>
    <ds:schemaRef ds:uri="http://schemas.microsoft.com/sharepoint/v3/contenttype/forms"/>
  </ds:schemaRefs>
</ds:datastoreItem>
</file>

<file path=customXml/itemProps4.xml><?xml version="1.0" encoding="utf-8"?>
<ds:datastoreItem xmlns:ds="http://schemas.openxmlformats.org/officeDocument/2006/customXml" ds:itemID="{F126CE32-1D71-4358-B91D-4821596A4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Oglala Lakota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44-000-1</dc:title>
  <dc:subject/>
  <dc:creator>Diane Winters</dc:creator>
  <cp:keywords/>
  <dc:description/>
  <cp:lastModifiedBy>Katie Janis</cp:lastModifiedBy>
  <cp:revision>7</cp:revision>
  <cp:lastPrinted>2009-01-02T23:26:00Z</cp:lastPrinted>
  <dcterms:created xsi:type="dcterms:W3CDTF">2022-10-27T16:03:00Z</dcterms:created>
  <dcterms:modified xsi:type="dcterms:W3CDTF">2022-12-06T17:21:11Z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INVESTMENT PROCEDURES/INVESTMENT DISBURSEMENTS (PROCEDURE)</vt:lpwstr>
  </property>
  <property fmtid="{D5CDD505-2E9C-101B-9397-08002B2CF9AE}" pid="3" name="ContentTypeId">
    <vt:lpwstr>0x0101001F1E7F0EC2EC0D44A623885941C953B1</vt:lpwstr>
  </property>
  <property fmtid="{D5CDD505-2E9C-101B-9397-08002B2CF9AE}" pid="4" name="Order">
    <vt:r8>3303400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